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B671" w14:textId="77777777" w:rsidR="007A058E" w:rsidRPr="007A058E" w:rsidRDefault="007A058E" w:rsidP="007A058E">
      <w:pPr>
        <w:spacing w:after="0" w:line="240" w:lineRule="auto"/>
        <w:rPr>
          <w:rFonts w:asciiTheme="minorBidi" w:eastAsia="Times New Roman" w:hAnsiTheme="minorBidi"/>
          <w:b/>
          <w:bCs/>
          <w:kern w:val="0"/>
          <w:sz w:val="24"/>
          <w:szCs w:val="24"/>
          <w14:ligatures w14:val="none"/>
        </w:rPr>
      </w:pPr>
      <w:r w:rsidRPr="007A058E">
        <w:rPr>
          <w:rFonts w:asciiTheme="minorBidi" w:eastAsia="Times New Roman" w:hAnsiTheme="minorBidi"/>
          <w:b/>
          <w:bCs/>
          <w:kern w:val="0"/>
          <w:sz w:val="24"/>
          <w:szCs w:val="24"/>
          <w14:ligatures w14:val="none"/>
        </w:rPr>
        <w:t>Rutland Natural History Society</w:t>
      </w:r>
    </w:p>
    <w:p w14:paraId="6C45D92D" w14:textId="77777777" w:rsidR="007A058E" w:rsidRPr="007A058E" w:rsidRDefault="007A058E" w:rsidP="007A058E">
      <w:pPr>
        <w:spacing w:after="0" w:line="240" w:lineRule="auto"/>
        <w:rPr>
          <w:rFonts w:asciiTheme="minorBidi" w:eastAsia="Times New Roman" w:hAnsiTheme="minorBidi"/>
          <w:b/>
          <w:bCs/>
          <w:kern w:val="0"/>
          <w:sz w:val="24"/>
          <w:szCs w:val="24"/>
          <w14:ligatures w14:val="none"/>
        </w:rPr>
      </w:pPr>
    </w:p>
    <w:p w14:paraId="4EA9822B" w14:textId="5CA2D00C" w:rsidR="007A058E" w:rsidRPr="007A058E" w:rsidRDefault="007A058E" w:rsidP="007A058E">
      <w:pPr>
        <w:spacing w:after="0" w:line="240" w:lineRule="auto"/>
        <w:rPr>
          <w:rFonts w:asciiTheme="minorBidi" w:eastAsia="Times New Roman" w:hAnsiTheme="minorBidi"/>
          <w:b/>
          <w:bCs/>
          <w:kern w:val="0"/>
          <w:sz w:val="24"/>
          <w:szCs w:val="24"/>
          <w14:ligatures w14:val="none"/>
        </w:rPr>
      </w:pPr>
      <w:r w:rsidRPr="007A058E">
        <w:rPr>
          <w:rFonts w:asciiTheme="minorBidi" w:eastAsia="Times New Roman" w:hAnsiTheme="minorBidi"/>
          <w:b/>
          <w:bCs/>
          <w:kern w:val="0"/>
          <w:sz w:val="28"/>
          <w:szCs w:val="28"/>
          <w14:ligatures w14:val="none"/>
        </w:rPr>
        <w:t>ANNUAL REPORT: GLOW WORMS, 202</w:t>
      </w:r>
      <w:r w:rsidR="00BD06FB">
        <w:rPr>
          <w:rFonts w:asciiTheme="minorBidi" w:eastAsia="Times New Roman" w:hAnsiTheme="minorBidi"/>
          <w:b/>
          <w:bCs/>
          <w:kern w:val="0"/>
          <w:sz w:val="28"/>
          <w:szCs w:val="28"/>
          <w14:ligatures w14:val="none"/>
        </w:rPr>
        <w:t>4</w:t>
      </w:r>
      <w:r w:rsidRPr="007A058E">
        <w:rPr>
          <w:rFonts w:asciiTheme="minorBidi" w:eastAsia="Times New Roman" w:hAnsiTheme="minorBidi"/>
          <w:b/>
          <w:bCs/>
          <w:kern w:val="0"/>
          <w:sz w:val="24"/>
          <w:szCs w:val="24"/>
          <w14:ligatures w14:val="none"/>
        </w:rPr>
        <w:tab/>
      </w:r>
      <w:r w:rsidR="00BD06FB">
        <w:rPr>
          <w:rFonts w:asciiTheme="minorBidi" w:eastAsia="Times New Roman" w:hAnsiTheme="minorBidi"/>
          <w:b/>
          <w:bCs/>
          <w:kern w:val="0"/>
          <w:sz w:val="24"/>
          <w:szCs w:val="24"/>
          <w14:ligatures w14:val="none"/>
        </w:rPr>
        <w:t>Authors C Baxter T Sexton</w:t>
      </w:r>
    </w:p>
    <w:p w14:paraId="32F90B5C" w14:textId="77777777" w:rsidR="002729C7" w:rsidRDefault="002729C7" w:rsidP="00D43163">
      <w:pPr>
        <w:pStyle w:val="NormalWeb"/>
        <w:jc w:val="center"/>
        <w:rPr>
          <w:b/>
          <w:bCs/>
        </w:rPr>
      </w:pPr>
    </w:p>
    <w:p w14:paraId="32F8DC2C" w14:textId="61365869" w:rsidR="00BD09AA" w:rsidRDefault="00F86075" w:rsidP="007D5E56">
      <w:pPr>
        <w:pStyle w:val="NormalWeb"/>
        <w:jc w:val="center"/>
      </w:pPr>
      <w:r>
        <w:rPr>
          <w:noProof/>
        </w:rPr>
        <w:drawing>
          <wp:inline distT="0" distB="0" distL="0" distR="0" wp14:anchorId="695B8B05" wp14:editId="57C8731A">
            <wp:extent cx="3512558" cy="2541802"/>
            <wp:effectExtent l="0" t="0" r="0" b="0"/>
            <wp:docPr id="3" name="Picture 2" descr="A black and yellow bug on a green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yellow bug on a green leaf&#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6116" cy="2602268"/>
                    </a:xfrm>
                    <a:prstGeom prst="rect">
                      <a:avLst/>
                    </a:prstGeom>
                    <a:noFill/>
                    <a:ln>
                      <a:noFill/>
                    </a:ln>
                  </pic:spPr>
                </pic:pic>
              </a:graphicData>
            </a:graphic>
          </wp:inline>
        </w:drawing>
      </w:r>
    </w:p>
    <w:p w14:paraId="137B8E16" w14:textId="206D4EA5" w:rsidR="00702764" w:rsidRPr="00EF44F6" w:rsidRDefault="00702764" w:rsidP="00727861">
      <w:pPr>
        <w:pStyle w:val="NormalWeb"/>
        <w:jc w:val="center"/>
        <w:rPr>
          <w:rFonts w:asciiTheme="minorBidi" w:hAnsiTheme="minorBidi" w:cstheme="minorBidi"/>
          <w:b/>
          <w:bCs/>
        </w:rPr>
      </w:pPr>
      <w:r w:rsidRPr="00EF44F6">
        <w:rPr>
          <w:rFonts w:asciiTheme="minorBidi" w:hAnsiTheme="minorBidi" w:cstheme="minorBidi"/>
          <w:b/>
          <w:bCs/>
        </w:rPr>
        <w:t>Female glow</w:t>
      </w:r>
      <w:r w:rsidR="00727861" w:rsidRPr="00EF44F6">
        <w:rPr>
          <w:rFonts w:asciiTheme="minorBidi" w:hAnsiTheme="minorBidi" w:cstheme="minorBidi"/>
          <w:b/>
          <w:bCs/>
        </w:rPr>
        <w:t xml:space="preserve"> </w:t>
      </w:r>
      <w:r w:rsidRPr="00EF44F6">
        <w:rPr>
          <w:rFonts w:asciiTheme="minorBidi" w:hAnsiTheme="minorBidi" w:cstheme="minorBidi"/>
          <w:b/>
          <w:bCs/>
        </w:rPr>
        <w:t xml:space="preserve">worm </w:t>
      </w:r>
      <w:r w:rsidR="00727861" w:rsidRPr="00EF44F6">
        <w:rPr>
          <w:rFonts w:asciiTheme="minorBidi" w:hAnsiTheme="minorBidi" w:cstheme="minorBidi"/>
          <w:b/>
          <w:bCs/>
        </w:rPr>
        <w:t>Burley</w:t>
      </w:r>
      <w:r w:rsidR="00E85B4D" w:rsidRPr="00EF44F6">
        <w:rPr>
          <w:rFonts w:asciiTheme="minorBidi" w:hAnsiTheme="minorBidi" w:cstheme="minorBidi"/>
          <w:b/>
          <w:bCs/>
        </w:rPr>
        <w:t xml:space="preserve"> 2024</w:t>
      </w:r>
    </w:p>
    <w:p w14:paraId="69E30145" w14:textId="09495735" w:rsidR="00BD09AA" w:rsidRPr="00AB5938" w:rsidRDefault="00BD09AA" w:rsidP="00727861">
      <w:pPr>
        <w:ind w:firstLine="720"/>
        <w:jc w:val="both"/>
        <w:rPr>
          <w:rFonts w:asciiTheme="minorBidi" w:hAnsiTheme="minorBidi"/>
          <w:sz w:val="24"/>
          <w:szCs w:val="24"/>
        </w:rPr>
      </w:pPr>
      <w:r w:rsidRPr="00AB5938">
        <w:rPr>
          <w:rFonts w:asciiTheme="minorBidi" w:hAnsiTheme="minorBidi"/>
          <w:sz w:val="24"/>
          <w:szCs w:val="24"/>
        </w:rPr>
        <w:t>Once a common sight in the UK, glow-worms are declining nationally because of habitat loss</w:t>
      </w:r>
      <w:r w:rsidR="007D5E56" w:rsidRPr="00AB5938">
        <w:rPr>
          <w:rFonts w:asciiTheme="minorBidi" w:hAnsiTheme="minorBidi"/>
          <w:sz w:val="24"/>
          <w:szCs w:val="24"/>
        </w:rPr>
        <w:t xml:space="preserve">, </w:t>
      </w:r>
      <w:r w:rsidRPr="00AB5938">
        <w:rPr>
          <w:rFonts w:asciiTheme="minorBidi" w:hAnsiTheme="minorBidi"/>
          <w:sz w:val="24"/>
          <w:szCs w:val="24"/>
        </w:rPr>
        <w:t xml:space="preserve">degradation, light pollution and pesticide use. In some parts of the country, glow-worm numbers have plunged by up to three-quarters since 2001. In addition to this, many of the remaining sites where they are found are becoming geographically isolated with dwindling populations. The females, being wingless, do not move far and therefore isolated populations are further at risk of becoming unviable over time. </w:t>
      </w:r>
    </w:p>
    <w:p w14:paraId="696F9835" w14:textId="77777777" w:rsidR="009C4A9B" w:rsidRPr="00AB5938" w:rsidRDefault="00BD09AA" w:rsidP="00DE79CC">
      <w:pPr>
        <w:ind w:firstLine="720"/>
        <w:jc w:val="both"/>
        <w:rPr>
          <w:rFonts w:asciiTheme="minorBidi" w:hAnsiTheme="minorBidi"/>
          <w:sz w:val="24"/>
          <w:szCs w:val="24"/>
        </w:rPr>
      </w:pPr>
      <w:r w:rsidRPr="00AB5938">
        <w:rPr>
          <w:rFonts w:asciiTheme="minorBidi" w:hAnsiTheme="minorBidi"/>
          <w:sz w:val="24"/>
          <w:szCs w:val="24"/>
        </w:rPr>
        <w:t xml:space="preserve">Rutland has historically supported several large colonies of glow-worms, with most records coming from the limestone soils in the east of the county. Records date back to the Second World War, with stories of glow-worms ‘lighting up’ verges in the absence of streetlamps. Systematic recording of glow-worms in the county began in the early 1990s through the work of Linda Worral and Rutland Natural History Society. </w:t>
      </w:r>
    </w:p>
    <w:p w14:paraId="6A0CD8E7" w14:textId="77777777" w:rsidR="00A44208" w:rsidRDefault="0016339F" w:rsidP="00A44208">
      <w:pPr>
        <w:ind w:firstLine="720"/>
        <w:jc w:val="both"/>
        <w:rPr>
          <w:rFonts w:asciiTheme="minorBidi" w:hAnsiTheme="minorBidi"/>
          <w:sz w:val="24"/>
          <w:szCs w:val="24"/>
        </w:rPr>
      </w:pPr>
      <w:r w:rsidRPr="00AB5938">
        <w:rPr>
          <w:rFonts w:asciiTheme="minorBidi" w:hAnsiTheme="minorBidi"/>
          <w:sz w:val="24"/>
          <w:szCs w:val="24"/>
        </w:rPr>
        <w:t xml:space="preserve">There was renewed interest in glow-worm recording locally in 2023, following the announcement that Leicestershire and Rutland Wildlife Trust were seeking funding for a project </w:t>
      </w:r>
      <w:r w:rsidR="004A6EA1" w:rsidRPr="00AB5938">
        <w:rPr>
          <w:rFonts w:asciiTheme="minorBidi" w:hAnsiTheme="minorBidi"/>
          <w:sz w:val="24"/>
          <w:szCs w:val="24"/>
        </w:rPr>
        <w:t>to</w:t>
      </w:r>
      <w:r w:rsidRPr="00AB5938">
        <w:rPr>
          <w:rFonts w:asciiTheme="minorBidi" w:hAnsiTheme="minorBidi"/>
          <w:sz w:val="24"/>
          <w:szCs w:val="24"/>
        </w:rPr>
        <w:t xml:space="preserve"> enhance priority grassland habitats in the county and aid the recovery of glow-worm populations. In summer of that year, a citizen science project helped to map glow-worm populations across Leicestershire and Rutland – confirming continued activity on many of the historic sites, but also identifying two previously unknown populations in Leicestershire.</w:t>
      </w:r>
    </w:p>
    <w:p w14:paraId="44562983" w14:textId="449E1FC2" w:rsidR="00A44208" w:rsidRPr="00AB5938" w:rsidRDefault="0016339F" w:rsidP="00A44208">
      <w:pPr>
        <w:ind w:firstLine="720"/>
        <w:jc w:val="both"/>
        <w:rPr>
          <w:rFonts w:asciiTheme="minorBidi" w:hAnsiTheme="minorBidi"/>
          <w:sz w:val="24"/>
          <w:szCs w:val="24"/>
        </w:rPr>
      </w:pPr>
      <w:r w:rsidRPr="00AB5938">
        <w:rPr>
          <w:rFonts w:asciiTheme="minorBidi" w:hAnsiTheme="minorBidi"/>
          <w:sz w:val="24"/>
          <w:szCs w:val="24"/>
        </w:rPr>
        <w:t xml:space="preserve"> </w:t>
      </w:r>
      <w:r w:rsidR="00A44208" w:rsidRPr="00AB5938">
        <w:rPr>
          <w:rFonts w:asciiTheme="minorBidi" w:hAnsiTheme="minorBidi"/>
          <w:sz w:val="24"/>
          <w:szCs w:val="24"/>
        </w:rPr>
        <w:t xml:space="preserve">There are five main glow-worm colonies in </w:t>
      </w:r>
      <w:r w:rsidR="009A048D">
        <w:rPr>
          <w:rFonts w:asciiTheme="minorBidi" w:hAnsiTheme="minorBidi"/>
          <w:sz w:val="24"/>
          <w:szCs w:val="24"/>
        </w:rPr>
        <w:t>Rutland</w:t>
      </w:r>
      <w:r w:rsidR="00A44208" w:rsidRPr="00AB5938">
        <w:rPr>
          <w:rFonts w:asciiTheme="minorBidi" w:hAnsiTheme="minorBidi"/>
          <w:sz w:val="24"/>
          <w:szCs w:val="24"/>
        </w:rPr>
        <w:t xml:space="preserve">: Burley Wood, Ketton Quarry, </w:t>
      </w:r>
      <w:proofErr w:type="spellStart"/>
      <w:r w:rsidR="00A44208" w:rsidRPr="00AB5938">
        <w:rPr>
          <w:rFonts w:asciiTheme="minorBidi" w:hAnsiTheme="minorBidi"/>
          <w:sz w:val="24"/>
          <w:szCs w:val="24"/>
        </w:rPr>
        <w:t>Barrowden</w:t>
      </w:r>
      <w:proofErr w:type="spellEnd"/>
      <w:r w:rsidR="00A44208" w:rsidRPr="00AB5938">
        <w:rPr>
          <w:rFonts w:asciiTheme="minorBidi" w:hAnsiTheme="minorBidi"/>
          <w:sz w:val="24"/>
          <w:szCs w:val="24"/>
        </w:rPr>
        <w:t xml:space="preserve"> Verges, </w:t>
      </w:r>
      <w:proofErr w:type="spellStart"/>
      <w:r w:rsidR="00A44208" w:rsidRPr="00AB5938">
        <w:rPr>
          <w:rFonts w:asciiTheme="minorBidi" w:hAnsiTheme="minorBidi"/>
          <w:sz w:val="24"/>
          <w:szCs w:val="24"/>
        </w:rPr>
        <w:t>Essendine</w:t>
      </w:r>
      <w:proofErr w:type="spellEnd"/>
      <w:r w:rsidR="00A44208" w:rsidRPr="00AB5938">
        <w:rPr>
          <w:rFonts w:asciiTheme="minorBidi" w:hAnsiTheme="minorBidi"/>
          <w:sz w:val="24"/>
          <w:szCs w:val="24"/>
        </w:rPr>
        <w:t xml:space="preserve"> Verges and Pickworth Woods. Other records have come from South Luffenham Level Crossing, </w:t>
      </w:r>
      <w:proofErr w:type="spellStart"/>
      <w:r w:rsidR="00A44208" w:rsidRPr="00AB5938">
        <w:rPr>
          <w:rFonts w:asciiTheme="minorBidi" w:hAnsiTheme="minorBidi"/>
          <w:sz w:val="24"/>
          <w:szCs w:val="24"/>
        </w:rPr>
        <w:t>Clipsham</w:t>
      </w:r>
      <w:proofErr w:type="spellEnd"/>
      <w:r w:rsidR="00A44208" w:rsidRPr="00AB5938">
        <w:rPr>
          <w:rFonts w:asciiTheme="minorBidi" w:hAnsiTheme="minorBidi"/>
          <w:sz w:val="24"/>
          <w:szCs w:val="24"/>
        </w:rPr>
        <w:t xml:space="preserve"> Old Quarry, </w:t>
      </w:r>
      <w:proofErr w:type="spellStart"/>
      <w:r w:rsidR="00A44208" w:rsidRPr="00AB5938">
        <w:rPr>
          <w:rFonts w:asciiTheme="minorBidi" w:hAnsiTheme="minorBidi"/>
          <w:sz w:val="24"/>
          <w:szCs w:val="24"/>
        </w:rPr>
        <w:t>Tixover</w:t>
      </w:r>
      <w:proofErr w:type="spellEnd"/>
      <w:r w:rsidR="00A44208" w:rsidRPr="00AB5938">
        <w:rPr>
          <w:rFonts w:asciiTheme="minorBidi" w:hAnsiTheme="minorBidi"/>
          <w:sz w:val="24"/>
          <w:szCs w:val="24"/>
        </w:rPr>
        <w:t xml:space="preserve">, </w:t>
      </w:r>
      <w:proofErr w:type="spellStart"/>
      <w:r w:rsidR="00A44208" w:rsidRPr="00AB5938">
        <w:rPr>
          <w:rFonts w:asciiTheme="minorBidi" w:hAnsiTheme="minorBidi"/>
          <w:sz w:val="24"/>
          <w:szCs w:val="24"/>
        </w:rPr>
        <w:t>Geeston</w:t>
      </w:r>
      <w:proofErr w:type="spellEnd"/>
      <w:r w:rsidR="00A44208" w:rsidRPr="00AB5938">
        <w:rPr>
          <w:rFonts w:asciiTheme="minorBidi" w:hAnsiTheme="minorBidi"/>
          <w:sz w:val="24"/>
          <w:szCs w:val="24"/>
        </w:rPr>
        <w:t xml:space="preserve">, North Luffenham Quarry, Luffenham Heath Golf Course and Braunston. In </w:t>
      </w:r>
      <w:r w:rsidR="00A44208" w:rsidRPr="00AB5938">
        <w:rPr>
          <w:rFonts w:asciiTheme="minorBidi" w:hAnsiTheme="minorBidi"/>
          <w:sz w:val="24"/>
          <w:szCs w:val="24"/>
        </w:rPr>
        <w:lastRenderedPageBreak/>
        <w:t xml:space="preserve">recent years, only a handful of surveys have been carried out on the key sites each year (Ketton Quarry, </w:t>
      </w:r>
      <w:proofErr w:type="spellStart"/>
      <w:r w:rsidR="00A44208" w:rsidRPr="00AB5938">
        <w:rPr>
          <w:rFonts w:asciiTheme="minorBidi" w:hAnsiTheme="minorBidi"/>
          <w:sz w:val="24"/>
          <w:szCs w:val="24"/>
        </w:rPr>
        <w:t>Essendine</w:t>
      </w:r>
      <w:proofErr w:type="spellEnd"/>
      <w:r w:rsidR="00A44208" w:rsidRPr="00AB5938">
        <w:rPr>
          <w:rFonts w:asciiTheme="minorBidi" w:hAnsiTheme="minorBidi"/>
          <w:sz w:val="24"/>
          <w:szCs w:val="24"/>
        </w:rPr>
        <w:t xml:space="preserve"> and </w:t>
      </w:r>
      <w:proofErr w:type="spellStart"/>
      <w:r w:rsidR="00A44208" w:rsidRPr="00AB5938">
        <w:rPr>
          <w:rFonts w:asciiTheme="minorBidi" w:hAnsiTheme="minorBidi"/>
          <w:sz w:val="24"/>
          <w:szCs w:val="24"/>
        </w:rPr>
        <w:t>Barrowden</w:t>
      </w:r>
      <w:proofErr w:type="spellEnd"/>
      <w:r w:rsidR="00A44208" w:rsidRPr="00AB5938">
        <w:rPr>
          <w:rFonts w:asciiTheme="minorBidi" w:hAnsiTheme="minorBidi"/>
          <w:sz w:val="24"/>
          <w:szCs w:val="24"/>
        </w:rPr>
        <w:t>).</w:t>
      </w:r>
    </w:p>
    <w:p w14:paraId="657343AD" w14:textId="38835D22" w:rsidR="0016339F" w:rsidRDefault="0016339F" w:rsidP="00C43244">
      <w:pPr>
        <w:ind w:firstLine="720"/>
        <w:jc w:val="both"/>
        <w:rPr>
          <w:rFonts w:asciiTheme="minorBidi" w:hAnsiTheme="minorBidi"/>
          <w:sz w:val="24"/>
          <w:szCs w:val="24"/>
        </w:rPr>
      </w:pPr>
    </w:p>
    <w:p w14:paraId="070866EF" w14:textId="77777777" w:rsidR="00A44208" w:rsidRPr="00AB5938" w:rsidRDefault="00A44208" w:rsidP="00C43244">
      <w:pPr>
        <w:ind w:firstLine="720"/>
        <w:jc w:val="both"/>
        <w:rPr>
          <w:rFonts w:asciiTheme="minorBidi" w:hAnsiTheme="minorBidi"/>
          <w:sz w:val="24"/>
          <w:szCs w:val="24"/>
        </w:rPr>
      </w:pPr>
    </w:p>
    <w:p w14:paraId="6D399650" w14:textId="77777777" w:rsidR="009E216D" w:rsidRDefault="00BD09AA" w:rsidP="009E216D">
      <w:pPr>
        <w:ind w:firstLine="720"/>
        <w:jc w:val="both"/>
        <w:rPr>
          <w:rFonts w:asciiTheme="minorBidi" w:hAnsiTheme="minorBidi"/>
          <w:sz w:val="24"/>
          <w:szCs w:val="24"/>
          <w:lang w:val="en-US"/>
        </w:rPr>
      </w:pPr>
      <w:r w:rsidRPr="00402E37">
        <w:rPr>
          <w:rFonts w:asciiTheme="minorBidi" w:hAnsiTheme="minorBidi"/>
          <w:sz w:val="24"/>
          <w:szCs w:val="24"/>
          <w:lang w:val="en-US"/>
        </w:rPr>
        <w:t xml:space="preserve">In 2024 </w:t>
      </w:r>
      <w:r w:rsidR="00F02879">
        <w:rPr>
          <w:rFonts w:asciiTheme="minorBidi" w:hAnsiTheme="minorBidi"/>
          <w:sz w:val="24"/>
          <w:szCs w:val="24"/>
          <w:lang w:val="en-US"/>
        </w:rPr>
        <w:t>RNHS</w:t>
      </w:r>
      <w:r w:rsidRPr="00402E37">
        <w:rPr>
          <w:rFonts w:asciiTheme="minorBidi" w:hAnsiTheme="minorBidi"/>
          <w:sz w:val="24"/>
          <w:szCs w:val="24"/>
          <w:lang w:val="en-US"/>
        </w:rPr>
        <w:t xml:space="preserve"> collaborat</w:t>
      </w:r>
      <w:r w:rsidR="001C4646">
        <w:rPr>
          <w:rFonts w:asciiTheme="minorBidi" w:hAnsiTheme="minorBidi"/>
          <w:sz w:val="24"/>
          <w:szCs w:val="24"/>
          <w:lang w:val="en-US"/>
        </w:rPr>
        <w:t>ed with</w:t>
      </w:r>
      <w:r w:rsidRPr="00402E37">
        <w:rPr>
          <w:rFonts w:asciiTheme="minorBidi" w:hAnsiTheme="minorBidi"/>
          <w:sz w:val="24"/>
          <w:szCs w:val="24"/>
          <w:lang w:val="en-US"/>
        </w:rPr>
        <w:t xml:space="preserve"> Leicestershire and Rutland</w:t>
      </w:r>
      <w:r w:rsidRPr="00402E37">
        <w:rPr>
          <w:rFonts w:ascii="Arial" w:hAnsi="Arial" w:cs="Arial"/>
          <w:sz w:val="24"/>
          <w:szCs w:val="24"/>
          <w:lang w:val="en-US"/>
        </w:rPr>
        <w:t xml:space="preserve"> Wildlife Trust (LRWT)</w:t>
      </w:r>
      <w:r w:rsidR="001C4646">
        <w:rPr>
          <w:rFonts w:ascii="Arial" w:hAnsi="Arial" w:cs="Arial"/>
          <w:sz w:val="24"/>
          <w:szCs w:val="24"/>
          <w:lang w:val="en-US"/>
        </w:rPr>
        <w:t xml:space="preserve"> to carry out a detailed survey </w:t>
      </w:r>
      <w:r w:rsidR="003A3677">
        <w:rPr>
          <w:rFonts w:ascii="Arial" w:hAnsi="Arial" w:cs="Arial"/>
          <w:sz w:val="24"/>
          <w:szCs w:val="24"/>
          <w:lang w:val="en-US"/>
        </w:rPr>
        <w:t>of glow-worms in Rutland.</w:t>
      </w:r>
      <w:r w:rsidRPr="00402E37">
        <w:rPr>
          <w:rFonts w:ascii="Arial" w:hAnsi="Arial" w:cs="Arial"/>
          <w:sz w:val="24"/>
          <w:szCs w:val="24"/>
          <w:lang w:val="en-US"/>
        </w:rPr>
        <w:t xml:space="preserve"> It may be because the sites were investigated continuously over the glow-worm breeding period by more volunteers, or that </w:t>
      </w:r>
      <w:r w:rsidR="003A3677">
        <w:rPr>
          <w:rFonts w:ascii="Arial" w:hAnsi="Arial" w:cs="Arial"/>
          <w:sz w:val="24"/>
          <w:szCs w:val="24"/>
          <w:lang w:val="en-US"/>
        </w:rPr>
        <w:t>2024</w:t>
      </w:r>
      <w:r w:rsidRPr="00402E37">
        <w:rPr>
          <w:rFonts w:ascii="Arial" w:hAnsi="Arial" w:cs="Arial"/>
          <w:sz w:val="24"/>
          <w:szCs w:val="24"/>
          <w:lang w:val="en-US"/>
        </w:rPr>
        <w:t xml:space="preserve"> was a particularly good “glowing” year, but the results for every site covered except Bloody Oaks (Nil), </w:t>
      </w:r>
      <w:proofErr w:type="spellStart"/>
      <w:r w:rsidRPr="00402E37">
        <w:rPr>
          <w:rFonts w:ascii="Arial" w:hAnsi="Arial" w:cs="Arial"/>
          <w:sz w:val="24"/>
          <w:szCs w:val="24"/>
          <w:lang w:val="en-US"/>
        </w:rPr>
        <w:t>exce</w:t>
      </w:r>
      <w:r w:rsidR="004A3A9C">
        <w:rPr>
          <w:rFonts w:ascii="Arial" w:hAnsi="Arial" w:cs="Arial"/>
          <w:sz w:val="24"/>
          <w:szCs w:val="24"/>
          <w:lang w:val="en-US"/>
        </w:rPr>
        <w:t>d</w:t>
      </w:r>
      <w:r w:rsidRPr="00402E37">
        <w:rPr>
          <w:rFonts w:ascii="Arial" w:hAnsi="Arial" w:cs="Arial"/>
          <w:sz w:val="24"/>
          <w:szCs w:val="24"/>
          <w:lang w:val="en-US"/>
        </w:rPr>
        <w:t>ed</w:t>
      </w:r>
      <w:proofErr w:type="spellEnd"/>
      <w:r w:rsidRPr="00402E37">
        <w:rPr>
          <w:rFonts w:ascii="Arial" w:hAnsi="Arial" w:cs="Arial"/>
          <w:sz w:val="24"/>
          <w:szCs w:val="24"/>
          <w:lang w:val="en-US"/>
        </w:rPr>
        <w:t xml:space="preserve"> recent recording years. Tim Sexton and volunteers surveyed Burley Woods weekly from the first week in June</w:t>
      </w:r>
      <w:r w:rsidR="004A3A9C">
        <w:rPr>
          <w:rFonts w:ascii="Arial" w:hAnsi="Arial" w:cs="Arial"/>
          <w:sz w:val="24"/>
          <w:szCs w:val="24"/>
          <w:lang w:val="en-US"/>
        </w:rPr>
        <w:t xml:space="preserve"> until the</w:t>
      </w:r>
      <w:r w:rsidRPr="00402E37">
        <w:rPr>
          <w:rFonts w:ascii="Arial" w:hAnsi="Arial" w:cs="Arial"/>
          <w:sz w:val="24"/>
          <w:szCs w:val="24"/>
          <w:lang w:val="en-US"/>
        </w:rPr>
        <w:t xml:space="preserve"> second week in August, (ten weeks) while RNHS volunteers and Sarah Bedford (LRWT) surveyed other known sites in the County for most weeks over a period of eight weeks from the beginning of June to the end of July.</w:t>
      </w:r>
      <w:r w:rsidR="009E216D" w:rsidRPr="009E216D">
        <w:rPr>
          <w:rFonts w:asciiTheme="minorBidi" w:hAnsiTheme="minorBidi"/>
          <w:sz w:val="24"/>
          <w:szCs w:val="24"/>
          <w:lang w:val="en-US"/>
        </w:rPr>
        <w:t xml:space="preserve"> </w:t>
      </w:r>
    </w:p>
    <w:p w14:paraId="1F5984D1" w14:textId="098FD060" w:rsidR="009E216D" w:rsidRPr="00D43163" w:rsidRDefault="009E216D" w:rsidP="009E216D">
      <w:pPr>
        <w:ind w:firstLine="720"/>
        <w:jc w:val="both"/>
        <w:rPr>
          <w:rFonts w:asciiTheme="minorBidi" w:hAnsiTheme="minorBidi"/>
          <w:sz w:val="24"/>
          <w:szCs w:val="24"/>
          <w:lang w:val="en-US"/>
        </w:rPr>
      </w:pPr>
      <w:r w:rsidRPr="00D43163">
        <w:rPr>
          <w:rFonts w:asciiTheme="minorBidi" w:hAnsiTheme="minorBidi"/>
          <w:sz w:val="24"/>
          <w:szCs w:val="24"/>
          <w:lang w:val="en-US"/>
        </w:rPr>
        <w:t xml:space="preserve">The weather for the first part of the survey in early June was cool with winds coming mainly from the northeast, making night-time temperatures low for the time of year, possibly delaying the start of the season. There was a distinct lack of night-flying insects in the first week with the first </w:t>
      </w:r>
      <w:proofErr w:type="spellStart"/>
      <w:r w:rsidRPr="00D43163">
        <w:rPr>
          <w:rFonts w:asciiTheme="minorBidi" w:hAnsiTheme="minorBidi"/>
          <w:sz w:val="24"/>
          <w:szCs w:val="24"/>
          <w:lang w:val="en-US"/>
        </w:rPr>
        <w:t>Barrowden</w:t>
      </w:r>
      <w:proofErr w:type="spellEnd"/>
      <w:r w:rsidRPr="00D43163">
        <w:rPr>
          <w:rFonts w:asciiTheme="minorBidi" w:hAnsiTheme="minorBidi"/>
          <w:sz w:val="24"/>
          <w:szCs w:val="24"/>
          <w:lang w:val="en-US"/>
        </w:rPr>
        <w:t xml:space="preserve"> investigation on 5 June resulting in no glows at all, but the night was particularly cold. However, by 20</w:t>
      </w:r>
      <w:r w:rsidRPr="00D43163">
        <w:rPr>
          <w:rFonts w:asciiTheme="minorBidi" w:hAnsiTheme="minorBidi"/>
          <w:sz w:val="24"/>
          <w:szCs w:val="24"/>
          <w:vertAlign w:val="superscript"/>
          <w:lang w:val="en-US"/>
        </w:rPr>
        <w:t xml:space="preserve"> </w:t>
      </w:r>
      <w:r w:rsidRPr="00D43163">
        <w:rPr>
          <w:rFonts w:asciiTheme="minorBidi" w:hAnsiTheme="minorBidi"/>
          <w:sz w:val="24"/>
          <w:szCs w:val="24"/>
          <w:lang w:val="en-US"/>
        </w:rPr>
        <w:t>June, the daytime temperatures had picked up to around 25 degrees with plenty of sunshine to the end of the month. The weather changed back again at the beginning of July with winds and rain affecting temperatures once more but became much more settled by the end of the month and into August.</w:t>
      </w:r>
    </w:p>
    <w:p w14:paraId="10570A53" w14:textId="6C6E8BDD" w:rsidR="00D50F9D" w:rsidRPr="004A729A" w:rsidRDefault="00D50F9D" w:rsidP="00402E37">
      <w:pPr>
        <w:jc w:val="both"/>
        <w:rPr>
          <w:rFonts w:asciiTheme="minorBidi" w:hAnsiTheme="minorBidi"/>
          <w:sz w:val="24"/>
          <w:szCs w:val="24"/>
        </w:rPr>
      </w:pPr>
      <w:r w:rsidRPr="00402E37">
        <w:rPr>
          <w:sz w:val="24"/>
          <w:szCs w:val="24"/>
        </w:rPr>
        <w:t xml:space="preserve"> </w:t>
      </w:r>
      <w:r w:rsidRPr="004A729A">
        <w:rPr>
          <w:rFonts w:asciiTheme="minorBidi" w:hAnsiTheme="minorBidi"/>
          <w:sz w:val="24"/>
          <w:szCs w:val="24"/>
        </w:rPr>
        <w:t>In all, 465 glow worms were recorded across the five sites. The greatest number of glowing females recorded in one night was at Ketton Quarry where 35 were recorded on the 11</w:t>
      </w:r>
      <w:r w:rsidRPr="004A729A">
        <w:rPr>
          <w:rFonts w:asciiTheme="minorBidi" w:hAnsiTheme="minorBidi"/>
          <w:sz w:val="24"/>
          <w:szCs w:val="24"/>
          <w:vertAlign w:val="superscript"/>
        </w:rPr>
        <w:t>th</w:t>
      </w:r>
      <w:r w:rsidRPr="004A729A">
        <w:rPr>
          <w:rFonts w:asciiTheme="minorBidi" w:hAnsiTheme="minorBidi"/>
          <w:sz w:val="24"/>
          <w:szCs w:val="24"/>
        </w:rPr>
        <w:t xml:space="preserve"> July, this was closely followed by Burley Wood on the 3</w:t>
      </w:r>
      <w:r w:rsidRPr="004A729A">
        <w:rPr>
          <w:rFonts w:asciiTheme="minorBidi" w:hAnsiTheme="minorBidi"/>
          <w:sz w:val="24"/>
          <w:szCs w:val="24"/>
          <w:vertAlign w:val="superscript"/>
        </w:rPr>
        <w:t>rd</w:t>
      </w:r>
      <w:r w:rsidRPr="004A729A">
        <w:rPr>
          <w:rFonts w:asciiTheme="minorBidi" w:hAnsiTheme="minorBidi"/>
          <w:sz w:val="24"/>
          <w:szCs w:val="24"/>
        </w:rPr>
        <w:t xml:space="preserve"> July when 28 females were recorded along with 3 males. The peak period of activity was the first week of July with 108 glowing females recorded across all sites. Totals from each of the surveyed sites (along with maxima) are shown in the table below.</w:t>
      </w:r>
    </w:p>
    <w:p w14:paraId="676A5685" w14:textId="2BCBF39C" w:rsidR="00B402F6" w:rsidRPr="00402E37" w:rsidRDefault="00B402F6" w:rsidP="00B402F6">
      <w:pPr>
        <w:rPr>
          <w:sz w:val="24"/>
          <w:szCs w:val="24"/>
        </w:rPr>
      </w:pPr>
      <w:r w:rsidRPr="00402E37">
        <w:rPr>
          <w:sz w:val="24"/>
          <w:szCs w:val="24"/>
        </w:rPr>
        <w:t xml:space="preserve"> </w:t>
      </w:r>
    </w:p>
    <w:tbl>
      <w:tblPr>
        <w:tblStyle w:val="TableGrid"/>
        <w:tblW w:w="0" w:type="auto"/>
        <w:tblLook w:val="04A0" w:firstRow="1" w:lastRow="0" w:firstColumn="1" w:lastColumn="0" w:noHBand="0" w:noVBand="1"/>
      </w:tblPr>
      <w:tblGrid>
        <w:gridCol w:w="3005"/>
        <w:gridCol w:w="3086"/>
        <w:gridCol w:w="2925"/>
      </w:tblGrid>
      <w:tr w:rsidR="00B402F6" w14:paraId="38C177EA" w14:textId="77777777" w:rsidTr="008529AB">
        <w:tc>
          <w:tcPr>
            <w:tcW w:w="3005" w:type="dxa"/>
          </w:tcPr>
          <w:p w14:paraId="758622DA" w14:textId="77777777" w:rsidR="00B402F6" w:rsidRDefault="00B402F6" w:rsidP="008529AB">
            <w:r>
              <w:t>Site Name</w:t>
            </w:r>
          </w:p>
        </w:tc>
        <w:tc>
          <w:tcPr>
            <w:tcW w:w="3086" w:type="dxa"/>
          </w:tcPr>
          <w:p w14:paraId="35F3ECAC" w14:textId="77777777" w:rsidR="00B402F6" w:rsidRDefault="00B402F6" w:rsidP="008529AB">
            <w:r>
              <w:t>Total glow-worms recorded during survey period</w:t>
            </w:r>
          </w:p>
        </w:tc>
        <w:tc>
          <w:tcPr>
            <w:tcW w:w="2925" w:type="dxa"/>
          </w:tcPr>
          <w:p w14:paraId="69CB567A" w14:textId="77777777" w:rsidR="00B402F6" w:rsidRDefault="00B402F6" w:rsidP="008529AB">
            <w:r>
              <w:t>Maxima (most recorded on one night)</w:t>
            </w:r>
          </w:p>
        </w:tc>
      </w:tr>
      <w:tr w:rsidR="00B402F6" w14:paraId="6AB4BEE2" w14:textId="77777777" w:rsidTr="008529AB">
        <w:tc>
          <w:tcPr>
            <w:tcW w:w="3005" w:type="dxa"/>
          </w:tcPr>
          <w:p w14:paraId="71220D91" w14:textId="77777777" w:rsidR="00B402F6" w:rsidRDefault="00B402F6" w:rsidP="008529AB">
            <w:r>
              <w:t>Burley Wood</w:t>
            </w:r>
          </w:p>
        </w:tc>
        <w:tc>
          <w:tcPr>
            <w:tcW w:w="3086" w:type="dxa"/>
          </w:tcPr>
          <w:p w14:paraId="426F7168" w14:textId="77777777" w:rsidR="00B402F6" w:rsidRDefault="00B402F6" w:rsidP="008529AB">
            <w:r>
              <w:t>158</w:t>
            </w:r>
          </w:p>
        </w:tc>
        <w:tc>
          <w:tcPr>
            <w:tcW w:w="2925" w:type="dxa"/>
          </w:tcPr>
          <w:p w14:paraId="485E74D4" w14:textId="77777777" w:rsidR="00B402F6" w:rsidRDefault="00B402F6" w:rsidP="008529AB">
            <w:r>
              <w:t>32</w:t>
            </w:r>
          </w:p>
        </w:tc>
      </w:tr>
      <w:tr w:rsidR="00B402F6" w14:paraId="69E0E9EF" w14:textId="77777777" w:rsidTr="008529AB">
        <w:tc>
          <w:tcPr>
            <w:tcW w:w="3005" w:type="dxa"/>
          </w:tcPr>
          <w:p w14:paraId="330BC416" w14:textId="77777777" w:rsidR="00B402F6" w:rsidRDefault="00B402F6" w:rsidP="008529AB">
            <w:r>
              <w:t>Ketton Quarry</w:t>
            </w:r>
          </w:p>
        </w:tc>
        <w:tc>
          <w:tcPr>
            <w:tcW w:w="3086" w:type="dxa"/>
          </w:tcPr>
          <w:p w14:paraId="656E4D9E" w14:textId="77777777" w:rsidR="00B402F6" w:rsidRDefault="00B402F6" w:rsidP="008529AB">
            <w:r>
              <w:t>142</w:t>
            </w:r>
          </w:p>
        </w:tc>
        <w:tc>
          <w:tcPr>
            <w:tcW w:w="2925" w:type="dxa"/>
          </w:tcPr>
          <w:p w14:paraId="53A48721" w14:textId="77777777" w:rsidR="00B402F6" w:rsidRDefault="00B402F6" w:rsidP="008529AB">
            <w:r>
              <w:t>35</w:t>
            </w:r>
          </w:p>
        </w:tc>
      </w:tr>
      <w:tr w:rsidR="00B402F6" w14:paraId="460984DF" w14:textId="77777777" w:rsidTr="008529AB">
        <w:tc>
          <w:tcPr>
            <w:tcW w:w="3005" w:type="dxa"/>
          </w:tcPr>
          <w:p w14:paraId="747B53B5" w14:textId="77777777" w:rsidR="00B402F6" w:rsidRDefault="00B402F6" w:rsidP="008529AB">
            <w:proofErr w:type="spellStart"/>
            <w:r>
              <w:t>Barrowden</w:t>
            </w:r>
            <w:proofErr w:type="spellEnd"/>
          </w:p>
        </w:tc>
        <w:tc>
          <w:tcPr>
            <w:tcW w:w="3086" w:type="dxa"/>
          </w:tcPr>
          <w:p w14:paraId="3A473772" w14:textId="77777777" w:rsidR="00B402F6" w:rsidRDefault="00B402F6" w:rsidP="008529AB">
            <w:r>
              <w:t>94</w:t>
            </w:r>
          </w:p>
        </w:tc>
        <w:tc>
          <w:tcPr>
            <w:tcW w:w="2925" w:type="dxa"/>
          </w:tcPr>
          <w:p w14:paraId="5926F172" w14:textId="77777777" w:rsidR="00B402F6" w:rsidRDefault="00B402F6" w:rsidP="008529AB">
            <w:r>
              <w:t>27</w:t>
            </w:r>
          </w:p>
        </w:tc>
      </w:tr>
      <w:tr w:rsidR="00B402F6" w14:paraId="59F1A633" w14:textId="77777777" w:rsidTr="008529AB">
        <w:tc>
          <w:tcPr>
            <w:tcW w:w="3005" w:type="dxa"/>
          </w:tcPr>
          <w:p w14:paraId="763B2C69" w14:textId="77777777" w:rsidR="00B402F6" w:rsidRDefault="00B402F6" w:rsidP="008529AB">
            <w:proofErr w:type="spellStart"/>
            <w:r>
              <w:t>Essendine</w:t>
            </w:r>
            <w:proofErr w:type="spellEnd"/>
            <w:r>
              <w:t xml:space="preserve"> Verges</w:t>
            </w:r>
          </w:p>
        </w:tc>
        <w:tc>
          <w:tcPr>
            <w:tcW w:w="3086" w:type="dxa"/>
          </w:tcPr>
          <w:p w14:paraId="5723AA56" w14:textId="77777777" w:rsidR="00B402F6" w:rsidRDefault="00B402F6" w:rsidP="008529AB">
            <w:r>
              <w:t>46</w:t>
            </w:r>
          </w:p>
        </w:tc>
        <w:tc>
          <w:tcPr>
            <w:tcW w:w="2925" w:type="dxa"/>
          </w:tcPr>
          <w:p w14:paraId="0E4A7831" w14:textId="77777777" w:rsidR="00B402F6" w:rsidRDefault="00B402F6" w:rsidP="008529AB">
            <w:r>
              <w:t>15</w:t>
            </w:r>
          </w:p>
        </w:tc>
      </w:tr>
      <w:tr w:rsidR="00B402F6" w14:paraId="7E2CFC0D" w14:textId="77777777" w:rsidTr="008529AB">
        <w:tc>
          <w:tcPr>
            <w:tcW w:w="3005" w:type="dxa"/>
          </w:tcPr>
          <w:p w14:paraId="2681C76C" w14:textId="77777777" w:rsidR="00B402F6" w:rsidRDefault="00B402F6" w:rsidP="008529AB">
            <w:r>
              <w:t>Pickworth Woods</w:t>
            </w:r>
          </w:p>
        </w:tc>
        <w:tc>
          <w:tcPr>
            <w:tcW w:w="3086" w:type="dxa"/>
          </w:tcPr>
          <w:p w14:paraId="5BCC4C5B" w14:textId="77777777" w:rsidR="00B402F6" w:rsidRDefault="00B402F6" w:rsidP="008529AB">
            <w:r>
              <w:t>25</w:t>
            </w:r>
          </w:p>
        </w:tc>
        <w:tc>
          <w:tcPr>
            <w:tcW w:w="2925" w:type="dxa"/>
          </w:tcPr>
          <w:p w14:paraId="479A1BE5" w14:textId="77777777" w:rsidR="00B402F6" w:rsidRDefault="00B402F6" w:rsidP="008529AB">
            <w:r>
              <w:t>12</w:t>
            </w:r>
          </w:p>
        </w:tc>
      </w:tr>
    </w:tbl>
    <w:p w14:paraId="04347B4A" w14:textId="77777777" w:rsidR="00FE59E0" w:rsidRDefault="00FE59E0" w:rsidP="00FE59E0">
      <w:pPr>
        <w:ind w:firstLine="720"/>
        <w:jc w:val="both"/>
        <w:rPr>
          <w:rFonts w:ascii="Arial" w:hAnsi="Arial" w:cs="Arial"/>
          <w:sz w:val="24"/>
          <w:szCs w:val="24"/>
          <w:lang w:val="en-US"/>
        </w:rPr>
      </w:pPr>
    </w:p>
    <w:p w14:paraId="2AFFADD5" w14:textId="4FF07DBA" w:rsidR="0048702A" w:rsidRPr="00D43163" w:rsidRDefault="0048702A" w:rsidP="0048702A">
      <w:pPr>
        <w:rPr>
          <w:sz w:val="24"/>
          <w:szCs w:val="24"/>
        </w:rPr>
      </w:pPr>
      <w:r w:rsidRPr="00D43163">
        <w:rPr>
          <w:rFonts w:asciiTheme="minorBidi" w:hAnsiTheme="minorBidi"/>
          <w:sz w:val="24"/>
          <w:szCs w:val="24"/>
        </w:rPr>
        <w:t>Bloody Oaks Quarry was surveyed in 2024. However, after several visits no glow worms were found. A record of a glowing female was reported from Armley Wood at Rutland Water by an angler.</w:t>
      </w:r>
      <w:r w:rsidR="009D7DEF">
        <w:rPr>
          <w:rFonts w:asciiTheme="minorBidi" w:hAnsiTheme="minorBidi"/>
          <w:sz w:val="24"/>
          <w:szCs w:val="24"/>
        </w:rPr>
        <w:t xml:space="preserve"> N</w:t>
      </w:r>
      <w:r w:rsidRPr="00D43163">
        <w:rPr>
          <w:rFonts w:asciiTheme="minorBidi" w:hAnsiTheme="minorBidi"/>
          <w:sz w:val="24"/>
          <w:szCs w:val="24"/>
        </w:rPr>
        <w:t xml:space="preserve">o further details were given, this will be followed up by a survey on both sides of the Hambleton Peninsula in 2025. Systematic surveys of the five key sites in Rutland </w:t>
      </w:r>
      <w:r w:rsidR="001002DE">
        <w:rPr>
          <w:rFonts w:asciiTheme="minorBidi" w:hAnsiTheme="minorBidi"/>
          <w:sz w:val="24"/>
          <w:szCs w:val="24"/>
        </w:rPr>
        <w:t xml:space="preserve">by volunteer recorders </w:t>
      </w:r>
      <w:r w:rsidR="00AF37C7">
        <w:rPr>
          <w:rFonts w:asciiTheme="minorBidi" w:hAnsiTheme="minorBidi"/>
          <w:sz w:val="24"/>
          <w:szCs w:val="24"/>
        </w:rPr>
        <w:t xml:space="preserve">from RNHs </w:t>
      </w:r>
      <w:r w:rsidRPr="00D43163">
        <w:rPr>
          <w:rFonts w:asciiTheme="minorBidi" w:hAnsiTheme="minorBidi"/>
          <w:sz w:val="24"/>
          <w:szCs w:val="24"/>
        </w:rPr>
        <w:t>will also continue in 2025</w:t>
      </w:r>
      <w:r w:rsidR="00AF37C7">
        <w:rPr>
          <w:rFonts w:asciiTheme="minorBidi" w:hAnsiTheme="minorBidi"/>
          <w:sz w:val="24"/>
          <w:szCs w:val="24"/>
        </w:rPr>
        <w:t>.</w:t>
      </w:r>
    </w:p>
    <w:p w14:paraId="643CD375" w14:textId="77777777" w:rsidR="002F0FD0" w:rsidRDefault="002F0FD0" w:rsidP="00E37CAB">
      <w:pPr>
        <w:rPr>
          <w:rFonts w:ascii="Arial" w:hAnsi="Arial" w:cs="Arial"/>
          <w:sz w:val="24"/>
          <w:szCs w:val="24"/>
          <w:lang w:val="en-US"/>
        </w:rPr>
      </w:pPr>
    </w:p>
    <w:p w14:paraId="30B3BA37" w14:textId="77777777" w:rsidR="00491C77" w:rsidRDefault="00491C77" w:rsidP="00E37CAB">
      <w:pPr>
        <w:rPr>
          <w:rFonts w:ascii="Arial" w:hAnsi="Arial" w:cs="Arial"/>
          <w:sz w:val="24"/>
          <w:szCs w:val="24"/>
          <w:lang w:val="en-US"/>
        </w:rPr>
      </w:pPr>
    </w:p>
    <w:p w14:paraId="6B31B67A" w14:textId="1927AF9E" w:rsidR="00B27A77" w:rsidRPr="00F578CB" w:rsidRDefault="00491C77" w:rsidP="00C81185">
      <w:pPr>
        <w:jc w:val="center"/>
        <w:rPr>
          <w:rFonts w:ascii="Arial" w:hAnsi="Arial" w:cs="Arial"/>
          <w:b/>
          <w:bCs/>
          <w:sz w:val="28"/>
          <w:szCs w:val="28"/>
          <w:lang w:val="en-US"/>
        </w:rPr>
      </w:pPr>
      <w:r w:rsidRPr="00F578CB">
        <w:rPr>
          <w:rFonts w:ascii="Arial" w:hAnsi="Arial" w:cs="Arial"/>
          <w:b/>
          <w:bCs/>
          <w:sz w:val="28"/>
          <w:szCs w:val="28"/>
          <w:lang w:val="en-US"/>
        </w:rPr>
        <w:t>C</w:t>
      </w:r>
      <w:r w:rsidR="00E37CAB" w:rsidRPr="00F578CB">
        <w:rPr>
          <w:rFonts w:ascii="Arial" w:hAnsi="Arial" w:cs="Arial"/>
          <w:b/>
          <w:bCs/>
          <w:sz w:val="28"/>
          <w:szCs w:val="28"/>
          <w:lang w:val="en-US"/>
        </w:rPr>
        <w:t>hart and map of the Burley wood survey.</w:t>
      </w:r>
    </w:p>
    <w:tbl>
      <w:tblPr>
        <w:tblStyle w:val="TableGrid"/>
        <w:tblW w:w="7134" w:type="dxa"/>
        <w:tblInd w:w="1045" w:type="dxa"/>
        <w:tblLook w:val="04A0" w:firstRow="1" w:lastRow="0" w:firstColumn="1" w:lastColumn="0" w:noHBand="0" w:noVBand="1"/>
      </w:tblPr>
      <w:tblGrid>
        <w:gridCol w:w="1424"/>
        <w:gridCol w:w="1409"/>
        <w:gridCol w:w="1389"/>
        <w:gridCol w:w="1401"/>
        <w:gridCol w:w="1511"/>
      </w:tblGrid>
      <w:tr w:rsidR="00491C77" w14:paraId="6F5F0788" w14:textId="77777777" w:rsidTr="00491C77">
        <w:trPr>
          <w:trHeight w:val="82"/>
        </w:trPr>
        <w:tc>
          <w:tcPr>
            <w:tcW w:w="1424" w:type="dxa"/>
          </w:tcPr>
          <w:p w14:paraId="36C29C90" w14:textId="77777777" w:rsidR="00E37CAB" w:rsidRDefault="00E37CAB" w:rsidP="008529AB">
            <w:pPr>
              <w:rPr>
                <w:rFonts w:ascii="Arial" w:hAnsi="Arial" w:cs="Arial"/>
                <w:b/>
                <w:bCs/>
                <w:sz w:val="24"/>
                <w:szCs w:val="24"/>
                <w:lang w:val="en-US"/>
              </w:rPr>
            </w:pPr>
            <w:r>
              <w:rPr>
                <w:rFonts w:ascii="Arial" w:hAnsi="Arial" w:cs="Arial"/>
                <w:b/>
                <w:bCs/>
                <w:sz w:val="24"/>
                <w:szCs w:val="24"/>
                <w:lang w:val="en-US"/>
              </w:rPr>
              <w:t>Date</w:t>
            </w:r>
          </w:p>
        </w:tc>
        <w:tc>
          <w:tcPr>
            <w:tcW w:w="1409" w:type="dxa"/>
          </w:tcPr>
          <w:p w14:paraId="62FD0C23" w14:textId="77777777" w:rsidR="00E37CAB" w:rsidRDefault="00E37CAB" w:rsidP="005B5511">
            <w:pPr>
              <w:jc w:val="center"/>
              <w:rPr>
                <w:rFonts w:ascii="Arial" w:hAnsi="Arial" w:cs="Arial"/>
                <w:b/>
                <w:bCs/>
                <w:sz w:val="24"/>
                <w:szCs w:val="24"/>
                <w:lang w:val="en-US"/>
              </w:rPr>
            </w:pPr>
            <w:r>
              <w:rPr>
                <w:rFonts w:ascii="Arial" w:hAnsi="Arial" w:cs="Arial"/>
                <w:b/>
                <w:bCs/>
                <w:sz w:val="24"/>
                <w:szCs w:val="24"/>
                <w:lang w:val="en-US"/>
              </w:rPr>
              <w:t>Female glows</w:t>
            </w:r>
          </w:p>
        </w:tc>
        <w:tc>
          <w:tcPr>
            <w:tcW w:w="1389" w:type="dxa"/>
          </w:tcPr>
          <w:p w14:paraId="20C79407" w14:textId="77777777" w:rsidR="00E37CAB" w:rsidRDefault="00E37CAB" w:rsidP="008529AB">
            <w:pPr>
              <w:rPr>
                <w:rFonts w:ascii="Arial" w:hAnsi="Arial" w:cs="Arial"/>
                <w:b/>
                <w:bCs/>
                <w:sz w:val="24"/>
                <w:szCs w:val="24"/>
                <w:lang w:val="en-US"/>
              </w:rPr>
            </w:pPr>
            <w:r>
              <w:rPr>
                <w:rFonts w:ascii="Arial" w:hAnsi="Arial" w:cs="Arial"/>
                <w:b/>
                <w:bCs/>
                <w:sz w:val="24"/>
                <w:szCs w:val="24"/>
                <w:lang w:val="en-US"/>
              </w:rPr>
              <w:t>Male glows</w:t>
            </w:r>
          </w:p>
        </w:tc>
        <w:tc>
          <w:tcPr>
            <w:tcW w:w="1401" w:type="dxa"/>
          </w:tcPr>
          <w:p w14:paraId="238686F1" w14:textId="77777777" w:rsidR="00E37CAB" w:rsidRDefault="00E37CAB" w:rsidP="008529AB">
            <w:pPr>
              <w:rPr>
                <w:rFonts w:ascii="Arial" w:hAnsi="Arial" w:cs="Arial"/>
                <w:b/>
                <w:bCs/>
                <w:sz w:val="24"/>
                <w:szCs w:val="24"/>
                <w:lang w:val="en-US"/>
              </w:rPr>
            </w:pPr>
            <w:r>
              <w:rPr>
                <w:rFonts w:ascii="Arial" w:hAnsi="Arial" w:cs="Arial"/>
                <w:b/>
                <w:bCs/>
                <w:sz w:val="24"/>
                <w:szCs w:val="24"/>
                <w:lang w:val="en-US"/>
              </w:rPr>
              <w:t>Larvae glows</w:t>
            </w:r>
          </w:p>
        </w:tc>
        <w:tc>
          <w:tcPr>
            <w:tcW w:w="1511" w:type="dxa"/>
          </w:tcPr>
          <w:p w14:paraId="7AF3A071" w14:textId="77777777" w:rsidR="00E37CAB" w:rsidRPr="00F24AC2" w:rsidRDefault="00E37CAB" w:rsidP="008529AB">
            <w:pPr>
              <w:rPr>
                <w:rFonts w:ascii="Arial" w:hAnsi="Arial" w:cs="Arial"/>
                <w:sz w:val="24"/>
                <w:szCs w:val="24"/>
                <w:lang w:val="en-US"/>
              </w:rPr>
            </w:pPr>
            <w:r>
              <w:rPr>
                <w:rFonts w:ascii="Arial" w:hAnsi="Arial" w:cs="Arial"/>
                <w:b/>
                <w:bCs/>
                <w:sz w:val="24"/>
                <w:szCs w:val="24"/>
                <w:lang w:val="en-US"/>
              </w:rPr>
              <w:t>Weather</w:t>
            </w:r>
          </w:p>
        </w:tc>
      </w:tr>
      <w:tr w:rsidR="00AA2453" w14:paraId="60EC9E10" w14:textId="77777777" w:rsidTr="00491C77">
        <w:trPr>
          <w:trHeight w:val="79"/>
        </w:trPr>
        <w:tc>
          <w:tcPr>
            <w:tcW w:w="1424" w:type="dxa"/>
          </w:tcPr>
          <w:p w14:paraId="0DAFDB86" w14:textId="77777777" w:rsidR="00062D94" w:rsidRDefault="00062D94" w:rsidP="008529AB">
            <w:pPr>
              <w:rPr>
                <w:rFonts w:ascii="Arial" w:hAnsi="Arial" w:cs="Arial"/>
                <w:b/>
                <w:bCs/>
                <w:sz w:val="24"/>
                <w:szCs w:val="24"/>
                <w:lang w:val="en-US"/>
              </w:rPr>
            </w:pPr>
          </w:p>
        </w:tc>
        <w:tc>
          <w:tcPr>
            <w:tcW w:w="1409" w:type="dxa"/>
          </w:tcPr>
          <w:p w14:paraId="2E854CBE" w14:textId="77777777" w:rsidR="00062D94" w:rsidRDefault="00062D94" w:rsidP="005B5511">
            <w:pPr>
              <w:jc w:val="center"/>
              <w:rPr>
                <w:rFonts w:ascii="Arial" w:hAnsi="Arial" w:cs="Arial"/>
                <w:b/>
                <w:bCs/>
                <w:sz w:val="24"/>
                <w:szCs w:val="24"/>
                <w:lang w:val="en-US"/>
              </w:rPr>
            </w:pPr>
          </w:p>
        </w:tc>
        <w:tc>
          <w:tcPr>
            <w:tcW w:w="1389" w:type="dxa"/>
          </w:tcPr>
          <w:p w14:paraId="4ADDDD2E" w14:textId="77777777" w:rsidR="00062D94" w:rsidRDefault="00062D94" w:rsidP="008529AB">
            <w:pPr>
              <w:rPr>
                <w:rFonts w:ascii="Arial" w:hAnsi="Arial" w:cs="Arial"/>
                <w:b/>
                <w:bCs/>
                <w:sz w:val="24"/>
                <w:szCs w:val="24"/>
                <w:lang w:val="en-US"/>
              </w:rPr>
            </w:pPr>
          </w:p>
        </w:tc>
        <w:tc>
          <w:tcPr>
            <w:tcW w:w="1401" w:type="dxa"/>
          </w:tcPr>
          <w:p w14:paraId="3C7B047A" w14:textId="77777777" w:rsidR="00062D94" w:rsidRDefault="00062D94" w:rsidP="008529AB">
            <w:pPr>
              <w:rPr>
                <w:rFonts w:ascii="Arial" w:hAnsi="Arial" w:cs="Arial"/>
                <w:b/>
                <w:bCs/>
                <w:sz w:val="24"/>
                <w:szCs w:val="24"/>
                <w:lang w:val="en-US"/>
              </w:rPr>
            </w:pPr>
          </w:p>
        </w:tc>
        <w:tc>
          <w:tcPr>
            <w:tcW w:w="1511" w:type="dxa"/>
          </w:tcPr>
          <w:p w14:paraId="5667A332" w14:textId="77777777" w:rsidR="00062D94" w:rsidRDefault="00062D94" w:rsidP="008529AB">
            <w:pPr>
              <w:rPr>
                <w:rFonts w:ascii="Arial" w:hAnsi="Arial" w:cs="Arial"/>
                <w:b/>
                <w:bCs/>
                <w:sz w:val="24"/>
                <w:szCs w:val="24"/>
                <w:lang w:val="en-US"/>
              </w:rPr>
            </w:pPr>
          </w:p>
        </w:tc>
      </w:tr>
      <w:tr w:rsidR="00491C77" w:rsidRPr="00F24AC2" w14:paraId="028CDD0F" w14:textId="77777777" w:rsidTr="00491C77">
        <w:trPr>
          <w:trHeight w:val="82"/>
        </w:trPr>
        <w:tc>
          <w:tcPr>
            <w:tcW w:w="1424" w:type="dxa"/>
          </w:tcPr>
          <w:p w14:paraId="2BB0EF9B" w14:textId="77777777" w:rsidR="00E37CAB" w:rsidRPr="00F24AC2" w:rsidRDefault="00E37CAB" w:rsidP="008529AB">
            <w:pPr>
              <w:rPr>
                <w:rFonts w:ascii="Arial" w:hAnsi="Arial" w:cs="Arial"/>
                <w:sz w:val="24"/>
                <w:szCs w:val="24"/>
                <w:lang w:val="en-US"/>
              </w:rPr>
            </w:pPr>
            <w:r w:rsidRPr="00F24AC2">
              <w:rPr>
                <w:rFonts w:ascii="Arial" w:hAnsi="Arial" w:cs="Arial"/>
                <w:sz w:val="24"/>
                <w:szCs w:val="24"/>
                <w:lang w:val="en-US"/>
              </w:rPr>
              <w:t>05/06/24</w:t>
            </w:r>
          </w:p>
        </w:tc>
        <w:tc>
          <w:tcPr>
            <w:tcW w:w="1409" w:type="dxa"/>
          </w:tcPr>
          <w:p w14:paraId="3DE4E93F"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w:t>
            </w:r>
          </w:p>
        </w:tc>
        <w:tc>
          <w:tcPr>
            <w:tcW w:w="1389" w:type="dxa"/>
          </w:tcPr>
          <w:p w14:paraId="11D4EADC"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401" w:type="dxa"/>
          </w:tcPr>
          <w:p w14:paraId="3042ACA6"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08E63506"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10 Overcast</w:t>
            </w:r>
          </w:p>
        </w:tc>
      </w:tr>
      <w:tr w:rsidR="00491C77" w:rsidRPr="00F24AC2" w14:paraId="2DA6D596" w14:textId="77777777" w:rsidTr="00491C77">
        <w:trPr>
          <w:trHeight w:val="79"/>
        </w:trPr>
        <w:tc>
          <w:tcPr>
            <w:tcW w:w="1424" w:type="dxa"/>
          </w:tcPr>
          <w:p w14:paraId="71092C90"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13/06/24</w:t>
            </w:r>
          </w:p>
        </w:tc>
        <w:tc>
          <w:tcPr>
            <w:tcW w:w="1409" w:type="dxa"/>
          </w:tcPr>
          <w:p w14:paraId="07FF7F4A"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3</w:t>
            </w:r>
          </w:p>
        </w:tc>
        <w:tc>
          <w:tcPr>
            <w:tcW w:w="1389" w:type="dxa"/>
          </w:tcPr>
          <w:p w14:paraId="6FC2DE5F"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401" w:type="dxa"/>
          </w:tcPr>
          <w:p w14:paraId="21D9CDF6"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3BBF1C20"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12 Overcast</w:t>
            </w:r>
          </w:p>
        </w:tc>
      </w:tr>
      <w:tr w:rsidR="00491C77" w:rsidRPr="00F24AC2" w14:paraId="439C351B" w14:textId="77777777" w:rsidTr="00491C77">
        <w:trPr>
          <w:trHeight w:val="82"/>
        </w:trPr>
        <w:tc>
          <w:tcPr>
            <w:tcW w:w="1424" w:type="dxa"/>
          </w:tcPr>
          <w:p w14:paraId="745CACC9"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18/06/24</w:t>
            </w:r>
          </w:p>
        </w:tc>
        <w:tc>
          <w:tcPr>
            <w:tcW w:w="1409" w:type="dxa"/>
          </w:tcPr>
          <w:p w14:paraId="225D9E4C"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9</w:t>
            </w:r>
          </w:p>
        </w:tc>
        <w:tc>
          <w:tcPr>
            <w:tcW w:w="1389" w:type="dxa"/>
          </w:tcPr>
          <w:p w14:paraId="7C8E8613"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7</w:t>
            </w:r>
          </w:p>
        </w:tc>
        <w:tc>
          <w:tcPr>
            <w:tcW w:w="1401" w:type="dxa"/>
          </w:tcPr>
          <w:p w14:paraId="02BA7726"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4679A42D"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12.5 Overcast</w:t>
            </w:r>
          </w:p>
        </w:tc>
      </w:tr>
      <w:tr w:rsidR="00491C77" w:rsidRPr="00F24AC2" w14:paraId="6831E797" w14:textId="77777777" w:rsidTr="00491C77">
        <w:trPr>
          <w:trHeight w:val="82"/>
        </w:trPr>
        <w:tc>
          <w:tcPr>
            <w:tcW w:w="1424" w:type="dxa"/>
          </w:tcPr>
          <w:p w14:paraId="5AAE26B9"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24/06/24</w:t>
            </w:r>
          </w:p>
        </w:tc>
        <w:tc>
          <w:tcPr>
            <w:tcW w:w="1409" w:type="dxa"/>
          </w:tcPr>
          <w:p w14:paraId="66105FD8"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9</w:t>
            </w:r>
          </w:p>
        </w:tc>
        <w:tc>
          <w:tcPr>
            <w:tcW w:w="1389" w:type="dxa"/>
          </w:tcPr>
          <w:p w14:paraId="1D39DD1A"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9</w:t>
            </w:r>
          </w:p>
        </w:tc>
        <w:tc>
          <w:tcPr>
            <w:tcW w:w="1401" w:type="dxa"/>
          </w:tcPr>
          <w:p w14:paraId="4FE3FD0B"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786F7D96"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11 Clear</w:t>
            </w:r>
          </w:p>
        </w:tc>
      </w:tr>
      <w:tr w:rsidR="00491C77" w:rsidRPr="00F24AC2" w14:paraId="4DCA2F91" w14:textId="77777777" w:rsidTr="00491C77">
        <w:trPr>
          <w:trHeight w:val="79"/>
        </w:trPr>
        <w:tc>
          <w:tcPr>
            <w:tcW w:w="1424" w:type="dxa"/>
          </w:tcPr>
          <w:p w14:paraId="5D8E6EAF"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29/06/24</w:t>
            </w:r>
          </w:p>
        </w:tc>
        <w:tc>
          <w:tcPr>
            <w:tcW w:w="1409" w:type="dxa"/>
          </w:tcPr>
          <w:p w14:paraId="3C391FD1"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25</w:t>
            </w:r>
          </w:p>
        </w:tc>
        <w:tc>
          <w:tcPr>
            <w:tcW w:w="1389" w:type="dxa"/>
          </w:tcPr>
          <w:p w14:paraId="76867282"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7</w:t>
            </w:r>
          </w:p>
        </w:tc>
        <w:tc>
          <w:tcPr>
            <w:tcW w:w="1401" w:type="dxa"/>
          </w:tcPr>
          <w:p w14:paraId="1EE3E069"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2724E74D"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14 Clear</w:t>
            </w:r>
          </w:p>
        </w:tc>
      </w:tr>
      <w:tr w:rsidR="00491C77" w:rsidRPr="00F24AC2" w14:paraId="5D533272" w14:textId="77777777" w:rsidTr="00491C77">
        <w:trPr>
          <w:trHeight w:val="165"/>
        </w:trPr>
        <w:tc>
          <w:tcPr>
            <w:tcW w:w="1424" w:type="dxa"/>
          </w:tcPr>
          <w:p w14:paraId="608FA929"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09/07/24</w:t>
            </w:r>
          </w:p>
        </w:tc>
        <w:tc>
          <w:tcPr>
            <w:tcW w:w="1409" w:type="dxa"/>
          </w:tcPr>
          <w:p w14:paraId="025981C9"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28</w:t>
            </w:r>
          </w:p>
        </w:tc>
        <w:tc>
          <w:tcPr>
            <w:tcW w:w="1389" w:type="dxa"/>
          </w:tcPr>
          <w:p w14:paraId="3ED4A11C"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3</w:t>
            </w:r>
          </w:p>
        </w:tc>
        <w:tc>
          <w:tcPr>
            <w:tcW w:w="1401" w:type="dxa"/>
          </w:tcPr>
          <w:p w14:paraId="7E3585A3"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6654C695"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 xml:space="preserve">16 Lt. cloud. Clear </w:t>
            </w:r>
            <w:proofErr w:type="spellStart"/>
            <w:r>
              <w:rPr>
                <w:rFonts w:ascii="Arial" w:hAnsi="Arial" w:cs="Arial"/>
                <w:sz w:val="24"/>
                <w:szCs w:val="24"/>
                <w:lang w:val="en-US"/>
              </w:rPr>
              <w:t>ltr</w:t>
            </w:r>
            <w:proofErr w:type="spellEnd"/>
            <w:r>
              <w:rPr>
                <w:rFonts w:ascii="Arial" w:hAnsi="Arial" w:cs="Arial"/>
                <w:sz w:val="24"/>
                <w:szCs w:val="24"/>
                <w:lang w:val="en-US"/>
              </w:rPr>
              <w:t>.</w:t>
            </w:r>
          </w:p>
        </w:tc>
      </w:tr>
      <w:tr w:rsidR="00491C77" w:rsidRPr="00F24AC2" w14:paraId="33D371CD" w14:textId="77777777" w:rsidTr="00491C77">
        <w:trPr>
          <w:trHeight w:val="169"/>
        </w:trPr>
        <w:tc>
          <w:tcPr>
            <w:tcW w:w="1424" w:type="dxa"/>
          </w:tcPr>
          <w:p w14:paraId="5BC323F7"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12/07/24</w:t>
            </w:r>
          </w:p>
        </w:tc>
        <w:tc>
          <w:tcPr>
            <w:tcW w:w="1409" w:type="dxa"/>
          </w:tcPr>
          <w:p w14:paraId="6847B1CA"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5</w:t>
            </w:r>
          </w:p>
        </w:tc>
        <w:tc>
          <w:tcPr>
            <w:tcW w:w="1389" w:type="dxa"/>
          </w:tcPr>
          <w:p w14:paraId="217C8447"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401" w:type="dxa"/>
          </w:tcPr>
          <w:p w14:paraId="40EB4EDE"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0</w:t>
            </w:r>
          </w:p>
        </w:tc>
        <w:tc>
          <w:tcPr>
            <w:tcW w:w="1511" w:type="dxa"/>
          </w:tcPr>
          <w:p w14:paraId="1E3D6188"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11 Overcast. Lt rain</w:t>
            </w:r>
          </w:p>
        </w:tc>
      </w:tr>
      <w:tr w:rsidR="00491C77" w:rsidRPr="00F24AC2" w14:paraId="60EF691D" w14:textId="77777777" w:rsidTr="00491C77">
        <w:trPr>
          <w:trHeight w:val="249"/>
        </w:trPr>
        <w:tc>
          <w:tcPr>
            <w:tcW w:w="1424" w:type="dxa"/>
          </w:tcPr>
          <w:p w14:paraId="51C1A5AE"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18/07/24</w:t>
            </w:r>
          </w:p>
        </w:tc>
        <w:tc>
          <w:tcPr>
            <w:tcW w:w="1409" w:type="dxa"/>
          </w:tcPr>
          <w:p w14:paraId="0CFDE6BF"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16</w:t>
            </w:r>
          </w:p>
        </w:tc>
        <w:tc>
          <w:tcPr>
            <w:tcW w:w="1389" w:type="dxa"/>
          </w:tcPr>
          <w:p w14:paraId="0389DB66"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7</w:t>
            </w:r>
          </w:p>
        </w:tc>
        <w:tc>
          <w:tcPr>
            <w:tcW w:w="1401" w:type="dxa"/>
          </w:tcPr>
          <w:p w14:paraId="5AB27965"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w:t>
            </w:r>
          </w:p>
        </w:tc>
        <w:tc>
          <w:tcPr>
            <w:tcW w:w="1511" w:type="dxa"/>
          </w:tcPr>
          <w:p w14:paraId="0BE81161"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18 scattered cloud. Nr full moon.</w:t>
            </w:r>
          </w:p>
        </w:tc>
      </w:tr>
      <w:tr w:rsidR="00491C77" w:rsidRPr="00F24AC2" w14:paraId="108609E2" w14:textId="77777777" w:rsidTr="00491C77">
        <w:trPr>
          <w:trHeight w:val="165"/>
        </w:trPr>
        <w:tc>
          <w:tcPr>
            <w:tcW w:w="1424" w:type="dxa"/>
          </w:tcPr>
          <w:p w14:paraId="5BA06430"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25/07/24</w:t>
            </w:r>
          </w:p>
        </w:tc>
        <w:tc>
          <w:tcPr>
            <w:tcW w:w="1409" w:type="dxa"/>
          </w:tcPr>
          <w:p w14:paraId="3330596F"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5</w:t>
            </w:r>
          </w:p>
        </w:tc>
        <w:tc>
          <w:tcPr>
            <w:tcW w:w="1389" w:type="dxa"/>
          </w:tcPr>
          <w:p w14:paraId="60E3C28D"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2</w:t>
            </w:r>
          </w:p>
        </w:tc>
        <w:tc>
          <w:tcPr>
            <w:tcW w:w="1401" w:type="dxa"/>
          </w:tcPr>
          <w:p w14:paraId="1CAB8327"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5</w:t>
            </w:r>
          </w:p>
        </w:tc>
        <w:tc>
          <w:tcPr>
            <w:tcW w:w="1511" w:type="dxa"/>
          </w:tcPr>
          <w:p w14:paraId="7AD3202B" w14:textId="77777777" w:rsidR="00E37CAB" w:rsidRPr="00F24AC2" w:rsidRDefault="00E37CAB" w:rsidP="008529AB">
            <w:pPr>
              <w:rPr>
                <w:rFonts w:ascii="Arial" w:hAnsi="Arial" w:cs="Arial"/>
                <w:sz w:val="24"/>
                <w:szCs w:val="24"/>
                <w:lang w:val="en-US"/>
              </w:rPr>
            </w:pPr>
            <w:r>
              <w:rPr>
                <w:rFonts w:ascii="Arial" w:hAnsi="Arial" w:cs="Arial"/>
                <w:sz w:val="24"/>
                <w:szCs w:val="24"/>
                <w:lang w:val="en-US"/>
              </w:rPr>
              <w:t>19 Overcast. Lt cloud.</w:t>
            </w:r>
          </w:p>
        </w:tc>
      </w:tr>
    </w:tbl>
    <w:p w14:paraId="0135EB1D" w14:textId="77777777" w:rsidR="00E37CAB" w:rsidRDefault="00E37CAB" w:rsidP="00E37CAB">
      <w:pPr>
        <w:rPr>
          <w:rFonts w:ascii="Arial" w:hAnsi="Arial" w:cs="Arial"/>
          <w:sz w:val="24"/>
          <w:szCs w:val="24"/>
          <w:lang w:val="en-US"/>
        </w:rPr>
      </w:pPr>
    </w:p>
    <w:p w14:paraId="07D7743E" w14:textId="77777777" w:rsidR="008A156C" w:rsidRPr="0092306E" w:rsidRDefault="008A156C" w:rsidP="00C43244">
      <w:pPr>
        <w:ind w:firstLine="720"/>
        <w:jc w:val="both"/>
        <w:rPr>
          <w:rFonts w:ascii="Arial" w:hAnsi="Arial" w:cs="Arial"/>
          <w:sz w:val="24"/>
          <w:szCs w:val="24"/>
          <w:lang w:val="en-US"/>
        </w:rPr>
      </w:pPr>
    </w:p>
    <w:p w14:paraId="7912A9BA" w14:textId="52DC8BC4" w:rsidR="00F23BB2" w:rsidRDefault="00491C77" w:rsidP="00491C77">
      <w:pPr>
        <w:jc w:val="center"/>
        <w:rPr>
          <w:rFonts w:ascii="Arial" w:hAnsi="Arial" w:cs="Arial"/>
          <w:b/>
          <w:bCs/>
          <w:sz w:val="24"/>
          <w:szCs w:val="24"/>
          <w:lang w:val="en-US"/>
        </w:rPr>
      </w:pPr>
      <w:r>
        <w:rPr>
          <w:noProof/>
        </w:rPr>
        <w:drawing>
          <wp:inline distT="0" distB="0" distL="0" distR="0" wp14:anchorId="71EAB5F1" wp14:editId="25FD71F4">
            <wp:extent cx="4914900" cy="3476092"/>
            <wp:effectExtent l="0" t="0" r="0" b="0"/>
            <wp:docPr id="1" name="Picture 1" descr="A map of burley w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burley woo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3299" cy="3524467"/>
                    </a:xfrm>
                    <a:prstGeom prst="rect">
                      <a:avLst/>
                    </a:prstGeom>
                    <a:noFill/>
                    <a:ln>
                      <a:noFill/>
                    </a:ln>
                  </pic:spPr>
                </pic:pic>
              </a:graphicData>
            </a:graphic>
          </wp:inline>
        </w:drawing>
      </w:r>
    </w:p>
    <w:p w14:paraId="34F73A01" w14:textId="1C6370B8" w:rsidR="00491C77" w:rsidRDefault="00491C77" w:rsidP="00491C77">
      <w:pPr>
        <w:pStyle w:val="NormalWeb"/>
      </w:pPr>
    </w:p>
    <w:p w14:paraId="4C58E875" w14:textId="77777777" w:rsidR="00BD09AA" w:rsidRPr="0021051E" w:rsidRDefault="00BD09AA" w:rsidP="00BD09AA"/>
    <w:p w14:paraId="5BC95F2A" w14:textId="77777777" w:rsidR="00BD09AA" w:rsidRDefault="00BD09AA" w:rsidP="00BD09AA"/>
    <w:p w14:paraId="3832150F" w14:textId="77777777" w:rsidR="00BD09AA" w:rsidRPr="00BD09AA" w:rsidRDefault="00BD09AA">
      <w:pPr>
        <w:rPr>
          <w:b/>
          <w:bCs/>
          <w:sz w:val="24"/>
          <w:szCs w:val="24"/>
        </w:rPr>
      </w:pPr>
    </w:p>
    <w:sectPr w:rsidR="00BD09AA" w:rsidRPr="00BD0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AA"/>
    <w:rsid w:val="00020460"/>
    <w:rsid w:val="00062D94"/>
    <w:rsid w:val="000F53B8"/>
    <w:rsid w:val="001002DE"/>
    <w:rsid w:val="0016339F"/>
    <w:rsid w:val="00186CC1"/>
    <w:rsid w:val="001C4646"/>
    <w:rsid w:val="0021051E"/>
    <w:rsid w:val="002729C7"/>
    <w:rsid w:val="002F0FD0"/>
    <w:rsid w:val="00333A02"/>
    <w:rsid w:val="003376F1"/>
    <w:rsid w:val="00370CE3"/>
    <w:rsid w:val="003827F6"/>
    <w:rsid w:val="003A3677"/>
    <w:rsid w:val="00402E37"/>
    <w:rsid w:val="00434121"/>
    <w:rsid w:val="0048702A"/>
    <w:rsid w:val="00491C77"/>
    <w:rsid w:val="004A3A9C"/>
    <w:rsid w:val="004A6EA1"/>
    <w:rsid w:val="004A729A"/>
    <w:rsid w:val="00503455"/>
    <w:rsid w:val="00550C50"/>
    <w:rsid w:val="005708BF"/>
    <w:rsid w:val="00587FED"/>
    <w:rsid w:val="005A41D8"/>
    <w:rsid w:val="005B5511"/>
    <w:rsid w:val="006F13BD"/>
    <w:rsid w:val="00702764"/>
    <w:rsid w:val="00727861"/>
    <w:rsid w:val="007674D1"/>
    <w:rsid w:val="007A058E"/>
    <w:rsid w:val="007D5E56"/>
    <w:rsid w:val="008A156C"/>
    <w:rsid w:val="008C01DD"/>
    <w:rsid w:val="008C33DE"/>
    <w:rsid w:val="009068DB"/>
    <w:rsid w:val="00906E2B"/>
    <w:rsid w:val="0091729F"/>
    <w:rsid w:val="0092306E"/>
    <w:rsid w:val="0097420F"/>
    <w:rsid w:val="009A048D"/>
    <w:rsid w:val="009C4A9B"/>
    <w:rsid w:val="009D7DEF"/>
    <w:rsid w:val="009E001D"/>
    <w:rsid w:val="009E216D"/>
    <w:rsid w:val="00A27B1A"/>
    <w:rsid w:val="00A44208"/>
    <w:rsid w:val="00A527CF"/>
    <w:rsid w:val="00AA2453"/>
    <w:rsid w:val="00AB5938"/>
    <w:rsid w:val="00AE0555"/>
    <w:rsid w:val="00AE0AEA"/>
    <w:rsid w:val="00AF37C7"/>
    <w:rsid w:val="00B27A77"/>
    <w:rsid w:val="00B402F6"/>
    <w:rsid w:val="00BD06FB"/>
    <w:rsid w:val="00BD09AA"/>
    <w:rsid w:val="00C43244"/>
    <w:rsid w:val="00C81185"/>
    <w:rsid w:val="00CD31E3"/>
    <w:rsid w:val="00D43163"/>
    <w:rsid w:val="00D50F9D"/>
    <w:rsid w:val="00DE79CC"/>
    <w:rsid w:val="00E37CAB"/>
    <w:rsid w:val="00E85B4D"/>
    <w:rsid w:val="00E91DAF"/>
    <w:rsid w:val="00EB3B07"/>
    <w:rsid w:val="00EF44F6"/>
    <w:rsid w:val="00F02879"/>
    <w:rsid w:val="00F11BAF"/>
    <w:rsid w:val="00F23BB2"/>
    <w:rsid w:val="00F578CB"/>
    <w:rsid w:val="00F86075"/>
    <w:rsid w:val="00FE59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07D6"/>
  <w15:chartTrackingRefBased/>
  <w15:docId w15:val="{395E43E6-99D4-43DA-AF71-8285E1F8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9AA"/>
    <w:rPr>
      <w:rFonts w:eastAsiaTheme="majorEastAsia" w:cstheme="majorBidi"/>
      <w:color w:val="272727" w:themeColor="text1" w:themeTint="D8"/>
    </w:rPr>
  </w:style>
  <w:style w:type="paragraph" w:styleId="Title">
    <w:name w:val="Title"/>
    <w:basedOn w:val="Normal"/>
    <w:next w:val="Normal"/>
    <w:link w:val="TitleChar"/>
    <w:uiPriority w:val="10"/>
    <w:qFormat/>
    <w:rsid w:val="00BD0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9AA"/>
    <w:pPr>
      <w:spacing w:before="160"/>
      <w:jc w:val="center"/>
    </w:pPr>
    <w:rPr>
      <w:i/>
      <w:iCs/>
      <w:color w:val="404040" w:themeColor="text1" w:themeTint="BF"/>
    </w:rPr>
  </w:style>
  <w:style w:type="character" w:customStyle="1" w:styleId="QuoteChar">
    <w:name w:val="Quote Char"/>
    <w:basedOn w:val="DefaultParagraphFont"/>
    <w:link w:val="Quote"/>
    <w:uiPriority w:val="29"/>
    <w:rsid w:val="00BD09AA"/>
    <w:rPr>
      <w:i/>
      <w:iCs/>
      <w:color w:val="404040" w:themeColor="text1" w:themeTint="BF"/>
    </w:rPr>
  </w:style>
  <w:style w:type="paragraph" w:styleId="ListParagraph">
    <w:name w:val="List Paragraph"/>
    <w:basedOn w:val="Normal"/>
    <w:uiPriority w:val="34"/>
    <w:qFormat/>
    <w:rsid w:val="00BD09AA"/>
    <w:pPr>
      <w:ind w:left="720"/>
      <w:contextualSpacing/>
    </w:pPr>
  </w:style>
  <w:style w:type="character" w:styleId="IntenseEmphasis">
    <w:name w:val="Intense Emphasis"/>
    <w:basedOn w:val="DefaultParagraphFont"/>
    <w:uiPriority w:val="21"/>
    <w:qFormat/>
    <w:rsid w:val="00BD09AA"/>
    <w:rPr>
      <w:i/>
      <w:iCs/>
      <w:color w:val="0F4761" w:themeColor="accent1" w:themeShade="BF"/>
    </w:rPr>
  </w:style>
  <w:style w:type="paragraph" w:styleId="IntenseQuote">
    <w:name w:val="Intense Quote"/>
    <w:basedOn w:val="Normal"/>
    <w:next w:val="Normal"/>
    <w:link w:val="IntenseQuoteChar"/>
    <w:uiPriority w:val="30"/>
    <w:qFormat/>
    <w:rsid w:val="00BD0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9AA"/>
    <w:rPr>
      <w:i/>
      <w:iCs/>
      <w:color w:val="0F4761" w:themeColor="accent1" w:themeShade="BF"/>
    </w:rPr>
  </w:style>
  <w:style w:type="character" w:styleId="IntenseReference">
    <w:name w:val="Intense Reference"/>
    <w:basedOn w:val="DefaultParagraphFont"/>
    <w:uiPriority w:val="32"/>
    <w:qFormat/>
    <w:rsid w:val="00BD09AA"/>
    <w:rPr>
      <w:b/>
      <w:bCs/>
      <w:smallCaps/>
      <w:color w:val="0F4761" w:themeColor="accent1" w:themeShade="BF"/>
      <w:spacing w:val="5"/>
    </w:rPr>
  </w:style>
  <w:style w:type="table" w:styleId="TableGrid">
    <w:name w:val="Table Grid"/>
    <w:basedOn w:val="TableNormal"/>
    <w:uiPriority w:val="39"/>
    <w:rsid w:val="00BD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08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210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85324">
      <w:bodyDiv w:val="1"/>
      <w:marLeft w:val="0"/>
      <w:marRight w:val="0"/>
      <w:marTop w:val="0"/>
      <w:marBottom w:val="0"/>
      <w:divBdr>
        <w:top w:val="none" w:sz="0" w:space="0" w:color="auto"/>
        <w:left w:val="none" w:sz="0" w:space="0" w:color="auto"/>
        <w:bottom w:val="none" w:sz="0" w:space="0" w:color="auto"/>
        <w:right w:val="none" w:sz="0" w:space="0" w:color="auto"/>
      </w:divBdr>
    </w:div>
    <w:div w:id="1302081546">
      <w:bodyDiv w:val="1"/>
      <w:marLeft w:val="0"/>
      <w:marRight w:val="0"/>
      <w:marTop w:val="0"/>
      <w:marBottom w:val="0"/>
      <w:divBdr>
        <w:top w:val="none" w:sz="0" w:space="0" w:color="auto"/>
        <w:left w:val="none" w:sz="0" w:space="0" w:color="auto"/>
        <w:bottom w:val="none" w:sz="0" w:space="0" w:color="auto"/>
        <w:right w:val="none" w:sz="0" w:space="0" w:color="auto"/>
      </w:divBdr>
    </w:div>
    <w:div w:id="13728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Biddle</dc:creator>
  <cp:keywords/>
  <dc:description/>
  <cp:lastModifiedBy>Linda Biddle</cp:lastModifiedBy>
  <cp:revision>2</cp:revision>
  <dcterms:created xsi:type="dcterms:W3CDTF">2025-06-04T16:24:00Z</dcterms:created>
  <dcterms:modified xsi:type="dcterms:W3CDTF">2025-06-04T16:24:00Z</dcterms:modified>
</cp:coreProperties>
</file>